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A2D4" w14:textId="77777777" w:rsidR="00E57F69" w:rsidRDefault="00E57F69" w:rsidP="00E57F69">
      <w:pPr>
        <w:spacing w:after="0" w:line="240" w:lineRule="auto"/>
        <w:jc w:val="center"/>
        <w:rPr>
          <w:rFonts w:ascii="Book Antiqua" w:eastAsia="Times New Roman" w:hAnsi="Book Antiqua" w:cs="Arial"/>
          <w:b/>
          <w:bCs/>
          <w:sz w:val="24"/>
          <w:szCs w:val="24"/>
          <w:lang w:eastAsia="hu-HU"/>
        </w:rPr>
      </w:pPr>
      <w:r w:rsidRPr="00084B06">
        <w:rPr>
          <w:rFonts w:ascii="Book Antiqua" w:eastAsia="Times New Roman" w:hAnsi="Book Antiqua" w:cs="Arial"/>
          <w:b/>
          <w:bCs/>
          <w:sz w:val="24"/>
          <w:szCs w:val="24"/>
          <w:lang w:eastAsia="hu-HU"/>
        </w:rPr>
        <w:t xml:space="preserve">Halimba Község Önkormányzata Képviselő-testületének </w:t>
      </w:r>
    </w:p>
    <w:p w14:paraId="56B57901" w14:textId="6DCD0CED" w:rsidR="00E57F69" w:rsidRPr="00084B06" w:rsidRDefault="00E57F69" w:rsidP="00E57F69">
      <w:pPr>
        <w:spacing w:after="0" w:line="240" w:lineRule="auto"/>
        <w:jc w:val="center"/>
        <w:rPr>
          <w:rFonts w:ascii="Book Antiqua" w:eastAsia="Times New Roman" w:hAnsi="Book Antiqua" w:cs="Arial"/>
          <w:b/>
          <w:bCs/>
          <w:sz w:val="24"/>
          <w:szCs w:val="24"/>
          <w:lang w:eastAsia="hu-HU"/>
        </w:rPr>
      </w:pPr>
      <w:r w:rsidRPr="00084B06">
        <w:rPr>
          <w:rFonts w:ascii="Book Antiqua" w:eastAsia="Times New Roman" w:hAnsi="Book Antiqua" w:cs="Arial"/>
          <w:b/>
          <w:bCs/>
          <w:sz w:val="24"/>
          <w:szCs w:val="24"/>
          <w:lang w:eastAsia="hu-HU"/>
        </w:rPr>
        <w:t xml:space="preserve">a parkolásról szóló </w:t>
      </w:r>
      <w:r w:rsidR="004B759D">
        <w:rPr>
          <w:rFonts w:ascii="Book Antiqua" w:eastAsia="Times New Roman" w:hAnsi="Book Antiqua" w:cs="Arial"/>
          <w:b/>
          <w:bCs/>
          <w:sz w:val="24"/>
          <w:szCs w:val="24"/>
          <w:lang w:eastAsia="hu-HU"/>
        </w:rPr>
        <w:t>15</w:t>
      </w:r>
      <w:r w:rsidRPr="00084B06">
        <w:rPr>
          <w:rFonts w:ascii="Book Antiqua" w:eastAsia="Times New Roman" w:hAnsi="Book Antiqua" w:cs="Arial"/>
          <w:b/>
          <w:bCs/>
          <w:sz w:val="24"/>
          <w:szCs w:val="24"/>
          <w:lang w:eastAsia="hu-HU"/>
        </w:rPr>
        <w:t>/2020.(</w:t>
      </w:r>
      <w:r w:rsidR="004B759D">
        <w:rPr>
          <w:rFonts w:ascii="Book Antiqua" w:eastAsia="Times New Roman" w:hAnsi="Book Antiqua" w:cs="Arial"/>
          <w:b/>
          <w:bCs/>
          <w:sz w:val="24"/>
          <w:szCs w:val="24"/>
          <w:lang w:eastAsia="hu-HU"/>
        </w:rPr>
        <w:t>VIII.31.</w:t>
      </w:r>
      <w:r w:rsidRPr="00084B06">
        <w:rPr>
          <w:rFonts w:ascii="Book Antiqua" w:eastAsia="Times New Roman" w:hAnsi="Book Antiqua" w:cs="Arial"/>
          <w:b/>
          <w:bCs/>
          <w:sz w:val="24"/>
          <w:szCs w:val="24"/>
          <w:lang w:eastAsia="hu-HU"/>
        </w:rPr>
        <w:t xml:space="preserve">) önkormányzati rendelete </w:t>
      </w:r>
    </w:p>
    <w:p w14:paraId="0AF00670" w14:textId="0615B237" w:rsidR="00E57F69" w:rsidRPr="00084B06" w:rsidRDefault="00E57F69" w:rsidP="00E57F69">
      <w:pPr>
        <w:spacing w:after="0" w:line="240" w:lineRule="auto"/>
        <w:jc w:val="center"/>
        <w:rPr>
          <w:rFonts w:ascii="Book Antiqua" w:eastAsia="Times New Roman" w:hAnsi="Book Antiqua" w:cs="Arial"/>
          <w:b/>
          <w:bCs/>
          <w:sz w:val="24"/>
          <w:szCs w:val="24"/>
          <w:lang w:eastAsia="hu-HU"/>
        </w:rPr>
      </w:pPr>
    </w:p>
    <w:p w14:paraId="3533BFD2" w14:textId="77777777" w:rsidR="00E57F69" w:rsidRPr="00084B06" w:rsidRDefault="00E57F69" w:rsidP="00E57F69">
      <w:pPr>
        <w:spacing w:after="0" w:line="240" w:lineRule="auto"/>
        <w:jc w:val="both"/>
        <w:rPr>
          <w:rFonts w:ascii="Book Antiqua" w:eastAsia="Times New Roman" w:hAnsi="Book Antiqua" w:cs="Arial"/>
          <w:b/>
          <w:bCs/>
          <w:sz w:val="24"/>
          <w:szCs w:val="24"/>
          <w:lang w:eastAsia="hu-HU"/>
        </w:rPr>
      </w:pPr>
    </w:p>
    <w:p w14:paraId="1D52998F" w14:textId="77777777" w:rsidR="00E57F69" w:rsidRPr="00084B06" w:rsidRDefault="00E57F69" w:rsidP="00E57F69">
      <w:pPr>
        <w:spacing w:after="0" w:line="240" w:lineRule="auto"/>
        <w:jc w:val="both"/>
        <w:rPr>
          <w:rFonts w:ascii="Book Antiqua" w:eastAsia="Times New Roman" w:hAnsi="Book Antiqua" w:cs="Arial"/>
          <w:b/>
          <w:bCs/>
          <w:sz w:val="24"/>
          <w:szCs w:val="24"/>
          <w:lang w:eastAsia="hu-HU"/>
        </w:rPr>
      </w:pPr>
    </w:p>
    <w:p w14:paraId="04D9B442" w14:textId="77777777" w:rsidR="00E57F69" w:rsidRPr="00084B06" w:rsidRDefault="00E57F69" w:rsidP="00E57F69">
      <w:pPr>
        <w:spacing w:after="0" w:line="240" w:lineRule="auto"/>
        <w:jc w:val="both"/>
        <w:rPr>
          <w:rFonts w:ascii="Book Antiqua" w:eastAsia="Times New Roman" w:hAnsi="Book Antiqua" w:cs="Arial"/>
          <w:sz w:val="24"/>
          <w:szCs w:val="24"/>
          <w:lang w:eastAsia="hu-HU"/>
        </w:rPr>
      </w:pPr>
    </w:p>
    <w:p w14:paraId="2EE4E905" w14:textId="77777777" w:rsidR="00E57F69" w:rsidRDefault="00E57F69" w:rsidP="00E57F69">
      <w:pPr>
        <w:spacing w:after="0" w:line="240" w:lineRule="auto"/>
        <w:jc w:val="both"/>
        <w:rPr>
          <w:rFonts w:ascii="Book Antiqua" w:eastAsia="Times New Roman" w:hAnsi="Book Antiqua" w:cs="Arial"/>
          <w:sz w:val="24"/>
          <w:szCs w:val="24"/>
          <w:lang w:eastAsia="hu-HU"/>
        </w:rPr>
      </w:pPr>
      <w:r>
        <w:rPr>
          <w:rFonts w:ascii="Book Antiqua" w:eastAsia="Times New Roman" w:hAnsi="Book Antiqua" w:cs="Arial"/>
          <w:sz w:val="24"/>
          <w:szCs w:val="24"/>
          <w:lang w:eastAsia="hu-HU"/>
        </w:rPr>
        <w:t xml:space="preserve">Halimba </w:t>
      </w:r>
      <w:r w:rsidRPr="00084B06">
        <w:rPr>
          <w:rFonts w:ascii="Book Antiqua" w:eastAsia="Times New Roman" w:hAnsi="Book Antiqua" w:cs="Arial"/>
          <w:sz w:val="24"/>
          <w:szCs w:val="24"/>
          <w:lang w:eastAsia="hu-HU"/>
        </w:rPr>
        <w:t>Község Önkormányzata Képviselő-testülete Magyarország Alaptörvénye 32. cikk (1) bekezdés a) pontjában, a Magyarország helyi önkormányzatairól szóló 2011. évi CLXXXIX törvény 42. §-</w:t>
      </w:r>
      <w:proofErr w:type="spellStart"/>
      <w:r w:rsidRPr="00084B06">
        <w:rPr>
          <w:rFonts w:ascii="Book Antiqua" w:eastAsia="Times New Roman" w:hAnsi="Book Antiqua" w:cs="Arial"/>
          <w:sz w:val="24"/>
          <w:szCs w:val="24"/>
          <w:lang w:eastAsia="hu-HU"/>
        </w:rPr>
        <w:t>ában</w:t>
      </w:r>
      <w:proofErr w:type="spellEnd"/>
      <w:r w:rsidRPr="00084B06">
        <w:rPr>
          <w:rFonts w:ascii="Book Antiqua" w:eastAsia="Times New Roman" w:hAnsi="Book Antiqua" w:cs="Arial"/>
          <w:sz w:val="24"/>
          <w:szCs w:val="24"/>
          <w:lang w:eastAsia="hu-HU"/>
        </w:rPr>
        <w:t xml:space="preserve"> biztosított jogkörében eljárva, valamint az országos településrendezési és építési követelményekről szóló 253/1997. (XII. 20.) Korm. Rendelet (továbbiakban OTÉK) 42. §. (11) bekezdésében foglalt felhatalmazás alapján az alábbi rendeletet alkotja:</w:t>
      </w:r>
    </w:p>
    <w:p w14:paraId="1ECC42A1" w14:textId="77777777" w:rsidR="00E57F69" w:rsidRDefault="00E57F69" w:rsidP="00E57F69">
      <w:pPr>
        <w:spacing w:after="0" w:line="240" w:lineRule="auto"/>
        <w:jc w:val="both"/>
        <w:rPr>
          <w:rFonts w:ascii="Book Antiqua" w:eastAsia="Times New Roman" w:hAnsi="Book Antiqua" w:cs="Arial"/>
          <w:sz w:val="24"/>
          <w:szCs w:val="24"/>
          <w:lang w:eastAsia="hu-HU"/>
        </w:rPr>
      </w:pPr>
    </w:p>
    <w:p w14:paraId="1D24DDDA" w14:textId="77777777" w:rsidR="00E57F69" w:rsidRPr="00084B06" w:rsidRDefault="00E57F69" w:rsidP="00E57F69">
      <w:pPr>
        <w:spacing w:after="0" w:line="240" w:lineRule="auto"/>
        <w:jc w:val="center"/>
        <w:rPr>
          <w:rFonts w:ascii="Book Antiqua" w:eastAsia="Times New Roman" w:hAnsi="Book Antiqua" w:cs="Arial"/>
          <w:b/>
          <w:bCs/>
          <w:sz w:val="24"/>
          <w:szCs w:val="24"/>
          <w:lang w:eastAsia="hu-HU"/>
        </w:rPr>
      </w:pPr>
      <w:r w:rsidRPr="00084B06">
        <w:rPr>
          <w:rFonts w:ascii="Book Antiqua" w:eastAsia="Times New Roman" w:hAnsi="Book Antiqua" w:cs="Arial"/>
          <w:b/>
          <w:bCs/>
          <w:sz w:val="24"/>
          <w:szCs w:val="24"/>
          <w:lang w:eastAsia="hu-HU"/>
        </w:rPr>
        <w:t>Általános rendelkezések</w:t>
      </w:r>
    </w:p>
    <w:p w14:paraId="2A5FB2FD" w14:textId="77777777" w:rsidR="00E57F69" w:rsidRPr="00084B06" w:rsidRDefault="00E57F69" w:rsidP="00E57F69">
      <w:pPr>
        <w:spacing w:after="0" w:line="240" w:lineRule="auto"/>
        <w:jc w:val="center"/>
        <w:rPr>
          <w:rFonts w:ascii="Book Antiqua" w:eastAsia="Times New Roman" w:hAnsi="Book Antiqua" w:cs="Arial"/>
          <w:b/>
          <w:bCs/>
          <w:sz w:val="24"/>
          <w:szCs w:val="24"/>
          <w:lang w:eastAsia="hu-HU"/>
        </w:rPr>
      </w:pPr>
    </w:p>
    <w:p w14:paraId="34624FA1" w14:textId="77777777" w:rsidR="00E57F69" w:rsidRDefault="00E57F69" w:rsidP="00E57F69">
      <w:pPr>
        <w:spacing w:after="0" w:line="240" w:lineRule="auto"/>
        <w:jc w:val="both"/>
        <w:rPr>
          <w:rFonts w:ascii="Book Antiqua" w:eastAsia="Times New Roman" w:hAnsi="Book Antiqua" w:cs="Arial"/>
          <w:sz w:val="24"/>
          <w:szCs w:val="24"/>
          <w:lang w:eastAsia="hu-HU"/>
        </w:rPr>
      </w:pPr>
    </w:p>
    <w:p w14:paraId="3A95A469"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1. §</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A rendelet célja, hogy az építési engedélyezési eljárások során lehetővé tegye a gépjárművek parkolását és ezzel elősegítse az építési igények teljesítését a már beépített településrészekben, ahol az épületek megközelítéséhez és használatához szükséges,</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az OTÉK</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4. számú mellékletében előírt számú gépjármű várakozóhely kialakítása telken belül, az engedélyezésre benyújtott építészeti megoldástól független műszaki indokok miatt nem kialakítható.</w:t>
      </w:r>
    </w:p>
    <w:p w14:paraId="19D13094" w14:textId="77777777" w:rsidR="00E57F69" w:rsidRDefault="00E57F69" w:rsidP="00E57F69">
      <w:pPr>
        <w:spacing w:after="0" w:line="240" w:lineRule="auto"/>
        <w:jc w:val="both"/>
        <w:rPr>
          <w:rFonts w:ascii="Book Antiqua" w:eastAsia="Times New Roman" w:hAnsi="Book Antiqua" w:cs="Arial"/>
          <w:sz w:val="24"/>
          <w:szCs w:val="24"/>
          <w:lang w:eastAsia="hu-HU"/>
        </w:rPr>
      </w:pPr>
    </w:p>
    <w:p w14:paraId="09416ED7" w14:textId="77777777" w:rsidR="00E57F69" w:rsidRPr="00C40EBE" w:rsidRDefault="00E57F69" w:rsidP="00E57F69">
      <w:pPr>
        <w:spacing w:after="0" w:line="240" w:lineRule="auto"/>
        <w:jc w:val="center"/>
        <w:rPr>
          <w:rFonts w:ascii="Book Antiqua" w:eastAsia="Times New Roman" w:hAnsi="Book Antiqua" w:cs="Arial"/>
          <w:b/>
          <w:bCs/>
          <w:sz w:val="24"/>
          <w:szCs w:val="24"/>
          <w:lang w:eastAsia="hu-HU"/>
        </w:rPr>
      </w:pPr>
      <w:r w:rsidRPr="00084B06">
        <w:rPr>
          <w:rFonts w:ascii="Book Antiqua" w:eastAsia="Times New Roman" w:hAnsi="Book Antiqua" w:cs="Arial"/>
          <w:b/>
          <w:bCs/>
          <w:sz w:val="24"/>
          <w:szCs w:val="24"/>
          <w:lang w:eastAsia="hu-HU"/>
        </w:rPr>
        <w:t>A rendelet hatálya</w:t>
      </w:r>
    </w:p>
    <w:p w14:paraId="2E45F61D" w14:textId="77777777" w:rsidR="00E57F69" w:rsidRPr="00C40EBE" w:rsidRDefault="00E57F69" w:rsidP="00E57F69">
      <w:pPr>
        <w:spacing w:after="0" w:line="240" w:lineRule="auto"/>
        <w:jc w:val="center"/>
        <w:rPr>
          <w:rFonts w:ascii="Book Antiqua" w:eastAsia="Times New Roman" w:hAnsi="Book Antiqua" w:cs="Arial"/>
          <w:b/>
          <w:bCs/>
          <w:sz w:val="24"/>
          <w:szCs w:val="24"/>
          <w:lang w:eastAsia="hu-HU"/>
        </w:rPr>
      </w:pPr>
    </w:p>
    <w:p w14:paraId="4CFF7F5D"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2. §</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(1) A rendelet hatálya kiterjed:</w:t>
      </w:r>
      <w:r>
        <w:rPr>
          <w:rFonts w:ascii="Book Antiqua" w:eastAsia="Times New Roman" w:hAnsi="Book Antiqua" w:cs="Arial"/>
          <w:sz w:val="24"/>
          <w:szCs w:val="24"/>
          <w:lang w:eastAsia="hu-HU"/>
        </w:rPr>
        <w:t xml:space="preserve"> </w:t>
      </w:r>
    </w:p>
    <w:p w14:paraId="00C601E8"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a) az Önkormányzat közigazgatási területén belül minden olyan telekre, amelyen a jogszabályban előírt számú gépjármű várakozóhelyének kialakítása telken belül az engedélyezésre benyújtott építészeti megoldástól független műszaki okból nem lehetséges,</w:t>
      </w:r>
    </w:p>
    <w:p w14:paraId="4743E311"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b) minden építtetőre, aki a fenti területen az OTÉK 4. sz. mellékletében meghatározottak szerint személygépkocsi elhelyezési kötelezettséggel járó új épület építésére, meglévő épület átalakítására, bővítésére kér építési-, illetve fennmaradási engedélyt, illetve ilyen épület építésére, rendeltetésének megváltoztatására vonatkozó bejelentést tesz,</w:t>
      </w:r>
    </w:p>
    <w:p w14:paraId="126AEF74"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c) minden olyan személyre, aki a fenti területen az OTÉK 4. sz. mellékletében meghatározottak szerint szükséges várakozóhelyek számának növekedésével járó, építéshatósági engedélyezéshez, bejelentéshez nem kötött rendeltetésmódosítást, átalakítást, bővítést hajt végre,</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a (2) bekezdés figyelembevételével.</w:t>
      </w:r>
    </w:p>
    <w:p w14:paraId="2B70DFC7" w14:textId="77777777" w:rsidR="00E57F69" w:rsidRDefault="00E57F69" w:rsidP="00E57F69">
      <w:pPr>
        <w:spacing w:after="0" w:line="240" w:lineRule="auto"/>
        <w:jc w:val="both"/>
        <w:rPr>
          <w:rFonts w:ascii="Book Antiqua" w:eastAsia="Times New Roman" w:hAnsi="Book Antiqua" w:cs="Arial"/>
          <w:sz w:val="24"/>
          <w:szCs w:val="24"/>
          <w:lang w:eastAsia="hu-HU"/>
        </w:rPr>
      </w:pPr>
    </w:p>
    <w:p w14:paraId="24459655" w14:textId="77777777" w:rsidR="00E57F69" w:rsidRDefault="00E57F69" w:rsidP="00E57F69">
      <w:pPr>
        <w:spacing w:after="0" w:line="240" w:lineRule="auto"/>
        <w:jc w:val="both"/>
        <w:rPr>
          <w:rFonts w:ascii="Book Antiqua" w:eastAsia="Times New Roman" w:hAnsi="Book Antiqua" w:cs="Arial"/>
          <w:sz w:val="24"/>
          <w:szCs w:val="24"/>
          <w:lang w:eastAsia="hu-HU"/>
        </w:rPr>
      </w:pPr>
    </w:p>
    <w:p w14:paraId="1CA507D5"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(2) Az (1) bekezdés szerinti műszaki oknak tekintendő:</w:t>
      </w:r>
    </w:p>
    <w:p w14:paraId="022A3EC4"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a) ha a telek közterületről személygépkocsival nem közelíthető meg;</w:t>
      </w:r>
    </w:p>
    <w:p w14:paraId="29B68426"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b) meglévő épület bővítése esetén, ha a már meglévő épület miatt sem a teleknek, sem az épületnek újabb gépjármű várakozóhely kialakításra különben alkalmas részei a közútról nem közelíthetők meg;</w:t>
      </w:r>
    </w:p>
    <w:p w14:paraId="59F88052"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lastRenderedPageBreak/>
        <w:t>c) meglévő épületen belüli területek lakássá vagy műteremmé való alakításánál (beleértve a tetőtér-beépítéseket), ha a teleknek vagy az épületnek újabb gépjármű várakozóhely kialakításra alkalmas részei nincsenek, vagy azok közútról nem közelíthetők meg;</w:t>
      </w:r>
    </w:p>
    <w:p w14:paraId="2D5FA474"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d) rendeltetés megváltoztatása esetén –a lakássá vagy műteremmé minősítés kivételével –ha legfeljebb két gépjármű várakozóhely kialakítása válik szükségessé, de a teleknek vagy az épületnek gépjármű várakozóhely kialakításra alkalmas részei nincsenek, vagy azok közútról nem közelíthetők meg;</w:t>
      </w:r>
    </w:p>
    <w:p w14:paraId="4934C7BD" w14:textId="77777777" w:rsidR="00E57F69" w:rsidRDefault="00E57F69" w:rsidP="00E57F69">
      <w:pPr>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e) önkormányzati beruházás esetén, ha a közterületen történő parkolás a közösség érdekeit jobban szolgálja.</w:t>
      </w:r>
    </w:p>
    <w:p w14:paraId="08DF7016" w14:textId="77777777" w:rsidR="00E57F69" w:rsidRPr="00084B06" w:rsidRDefault="00E57F69" w:rsidP="00E57F69">
      <w:pPr>
        <w:spacing w:after="0" w:line="240" w:lineRule="auto"/>
        <w:jc w:val="both"/>
        <w:rPr>
          <w:rFonts w:ascii="Book Antiqua" w:eastAsia="Times New Roman" w:hAnsi="Book Antiqua" w:cs="Times New Roman"/>
          <w:sz w:val="24"/>
          <w:szCs w:val="24"/>
          <w:lang w:eastAsia="hu-HU"/>
        </w:rPr>
      </w:pPr>
    </w:p>
    <w:p w14:paraId="7EDBA7F9"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3. §</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Amennyiben a gépjármű várakozóhely engedély nélkül vagy az engedélyezett tervtől eltérő építés, illetve ezek következtében elrendelt bontás miatt, valamint engedélyezett várakozóhelynek vagy gépkocsi tárolónak hatósági bontási határozat nélkül való megszüntetése miatt hiányzik és nem is létesíthető a 2. § szerint a jogszabályban előírt számú gépjármű várakozóhely, a fennmaradási engedély megadása esetén a képviselő-testület külön határozattal hozott hozzájárulása szükséges.</w:t>
      </w:r>
    </w:p>
    <w:p w14:paraId="4BC7ED33"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4FE38D2D"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4. §</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(1) A rendelet hatálya alá tartozó építési engedélyezési eljárások során építési engedély csak abban az esetben adható ki, ha a magánszemély építtető a képviselő-testülethozzájáruló döntését csatolja.</w:t>
      </w:r>
    </w:p>
    <w:p w14:paraId="67ABD468"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46008A8C"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(2)</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Amennyiben az építési engedély-köteles beruházás, illetve meglévő építmény rendeltetésének módosítása telken belüli várakozóhelyek, vagy gépkocsi tárolók megszüntetését eredményezi, úgy az építtetőnek ezek helyett -az OTÉK szerinti várakozóhely-szükségleten túlmenően az építési telken a megszűntekkel azonos számú várakozóhelyet kell létesítenie.</w:t>
      </w:r>
    </w:p>
    <w:p w14:paraId="1DD004DD"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50574A42" w14:textId="77777777" w:rsidR="00E57F69" w:rsidRPr="00792F92" w:rsidRDefault="00E57F69" w:rsidP="00E57F69">
      <w:pPr>
        <w:tabs>
          <w:tab w:val="center" w:pos="6237"/>
        </w:tabs>
        <w:spacing w:after="0" w:line="240" w:lineRule="auto"/>
        <w:jc w:val="center"/>
        <w:rPr>
          <w:rFonts w:ascii="Book Antiqua" w:eastAsia="Times New Roman" w:hAnsi="Book Antiqua" w:cs="Arial"/>
          <w:b/>
          <w:bCs/>
          <w:sz w:val="24"/>
          <w:szCs w:val="24"/>
          <w:lang w:eastAsia="hu-HU"/>
        </w:rPr>
      </w:pPr>
      <w:r w:rsidRPr="00792F92">
        <w:rPr>
          <w:rFonts w:ascii="Book Antiqua" w:eastAsia="Times New Roman" w:hAnsi="Book Antiqua" w:cs="Arial"/>
          <w:b/>
          <w:bCs/>
          <w:sz w:val="24"/>
          <w:szCs w:val="24"/>
          <w:lang w:eastAsia="hu-HU"/>
        </w:rPr>
        <w:t>Értelmező rendelkezések</w:t>
      </w:r>
    </w:p>
    <w:p w14:paraId="3FC893C1"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0CD91B6C"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r>
        <w:rPr>
          <w:rFonts w:ascii="Book Antiqua" w:eastAsia="Times New Roman" w:hAnsi="Book Antiqua" w:cs="Arial"/>
          <w:sz w:val="24"/>
          <w:szCs w:val="24"/>
          <w:lang w:eastAsia="hu-HU"/>
        </w:rPr>
        <w:t>5</w:t>
      </w:r>
      <w:r w:rsidRPr="00084B06">
        <w:rPr>
          <w:rFonts w:ascii="Book Antiqua" w:eastAsia="Times New Roman" w:hAnsi="Book Antiqua" w:cs="Arial"/>
          <w:sz w:val="24"/>
          <w:szCs w:val="24"/>
          <w:lang w:eastAsia="hu-HU"/>
        </w:rPr>
        <w:t>.§</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Jelen rendelet alkalmazása szempontjából:</w:t>
      </w:r>
    </w:p>
    <w:p w14:paraId="7FFDBC92"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r w:rsidRPr="00084B06">
        <w:rPr>
          <w:rFonts w:ascii="Book Antiqua" w:eastAsia="Times New Roman" w:hAnsi="Book Antiqua" w:cs="Arial"/>
          <w:sz w:val="24"/>
          <w:szCs w:val="24"/>
          <w:lang w:eastAsia="hu-HU"/>
        </w:rPr>
        <w:t>(1) Szükséges várakozóhely száma: az építmények rendeltetésszerű használatához szükséges, de legalább az előírt mennyiségű és fajtájú gépjármű saját telken belüli elhelyezéséhez szükséges, műszaki okból nem biztosítható várakozóhelyek mennyisége.</w:t>
      </w:r>
    </w:p>
    <w:p w14:paraId="44383209"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3AE46CFE" w14:textId="77777777" w:rsidR="00E57F69" w:rsidRPr="00C05BBC" w:rsidRDefault="00E57F69" w:rsidP="00E57F69">
      <w:pPr>
        <w:tabs>
          <w:tab w:val="center" w:pos="6237"/>
        </w:tabs>
        <w:spacing w:after="0" w:line="240" w:lineRule="auto"/>
        <w:jc w:val="center"/>
        <w:rPr>
          <w:rFonts w:ascii="Book Antiqua" w:eastAsia="Times New Roman" w:hAnsi="Book Antiqua" w:cs="Arial"/>
          <w:b/>
          <w:bCs/>
          <w:sz w:val="24"/>
          <w:szCs w:val="24"/>
          <w:lang w:eastAsia="hu-HU"/>
        </w:rPr>
      </w:pPr>
      <w:r w:rsidRPr="00C05BBC">
        <w:rPr>
          <w:rFonts w:ascii="Book Antiqua" w:eastAsia="Times New Roman" w:hAnsi="Book Antiqua" w:cs="Arial"/>
          <w:b/>
          <w:bCs/>
          <w:sz w:val="24"/>
          <w:szCs w:val="24"/>
          <w:lang w:eastAsia="hu-HU"/>
        </w:rPr>
        <w:t>Záró rendelkezések</w:t>
      </w:r>
    </w:p>
    <w:p w14:paraId="6836316D"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021304AF" w14:textId="3D04066B"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r>
        <w:rPr>
          <w:rFonts w:ascii="Book Antiqua" w:eastAsia="Times New Roman" w:hAnsi="Book Antiqua" w:cs="Arial"/>
          <w:sz w:val="24"/>
          <w:szCs w:val="24"/>
          <w:lang w:eastAsia="hu-HU"/>
        </w:rPr>
        <w:t>6</w:t>
      </w:r>
      <w:r w:rsidRPr="00084B06">
        <w:rPr>
          <w:rFonts w:ascii="Book Antiqua" w:eastAsia="Times New Roman" w:hAnsi="Book Antiqua" w:cs="Arial"/>
          <w:sz w:val="24"/>
          <w:szCs w:val="24"/>
          <w:lang w:eastAsia="hu-HU"/>
        </w:rPr>
        <w:t>. §</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(1)</w:t>
      </w:r>
      <w:r>
        <w:rPr>
          <w:rFonts w:ascii="Book Antiqua" w:eastAsia="Times New Roman" w:hAnsi="Book Antiqua" w:cs="Arial"/>
          <w:sz w:val="24"/>
          <w:szCs w:val="24"/>
          <w:lang w:eastAsia="hu-HU"/>
        </w:rPr>
        <w:t xml:space="preserve"> </w:t>
      </w:r>
      <w:r w:rsidRPr="00084B06">
        <w:rPr>
          <w:rFonts w:ascii="Book Antiqua" w:eastAsia="Times New Roman" w:hAnsi="Book Antiqua" w:cs="Arial"/>
          <w:sz w:val="24"/>
          <w:szCs w:val="24"/>
          <w:lang w:eastAsia="hu-HU"/>
        </w:rPr>
        <w:t xml:space="preserve">E rendelet </w:t>
      </w:r>
      <w:r>
        <w:rPr>
          <w:rFonts w:ascii="Book Antiqua" w:eastAsia="Times New Roman" w:hAnsi="Book Antiqua" w:cs="Arial"/>
          <w:sz w:val="24"/>
          <w:szCs w:val="24"/>
          <w:lang w:eastAsia="hu-HU"/>
        </w:rPr>
        <w:t>2020. szeptember 1-jén</w:t>
      </w:r>
      <w:r w:rsidRPr="00084B06">
        <w:rPr>
          <w:rFonts w:ascii="Book Antiqua" w:eastAsia="Times New Roman" w:hAnsi="Book Antiqua" w:cs="Arial"/>
          <w:sz w:val="24"/>
          <w:szCs w:val="24"/>
          <w:lang w:eastAsia="hu-HU"/>
        </w:rPr>
        <w:t xml:space="preserve"> lép hatályba</w:t>
      </w:r>
      <w:r>
        <w:rPr>
          <w:rFonts w:ascii="Book Antiqua" w:eastAsia="Times New Roman" w:hAnsi="Book Antiqua" w:cs="Arial"/>
          <w:sz w:val="24"/>
          <w:szCs w:val="24"/>
          <w:lang w:eastAsia="hu-HU"/>
        </w:rPr>
        <w:t>.</w:t>
      </w:r>
    </w:p>
    <w:p w14:paraId="2EA75823"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64ECF0C9"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70DE3718"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p>
    <w:p w14:paraId="17F47906"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r>
        <w:rPr>
          <w:rFonts w:ascii="Book Antiqua" w:eastAsia="Times New Roman" w:hAnsi="Book Antiqua" w:cs="Arial"/>
          <w:sz w:val="24"/>
          <w:szCs w:val="24"/>
          <w:lang w:eastAsia="hu-HU"/>
        </w:rPr>
        <w:t>Kovácsné Véber Eszter</w:t>
      </w:r>
      <w:r>
        <w:rPr>
          <w:rFonts w:ascii="Book Antiqua" w:eastAsia="Times New Roman" w:hAnsi="Book Antiqua" w:cs="Arial"/>
          <w:sz w:val="24"/>
          <w:szCs w:val="24"/>
          <w:lang w:eastAsia="hu-HU"/>
        </w:rPr>
        <w:tab/>
        <w:t>dr. Németh Mária Anita</w:t>
      </w:r>
    </w:p>
    <w:p w14:paraId="18D3A4D6" w14:textId="77777777" w:rsidR="00E57F69" w:rsidRDefault="00E57F69" w:rsidP="00E57F69">
      <w:pPr>
        <w:tabs>
          <w:tab w:val="center" w:pos="6237"/>
        </w:tabs>
        <w:spacing w:after="0" w:line="240" w:lineRule="auto"/>
        <w:jc w:val="both"/>
        <w:rPr>
          <w:rFonts w:ascii="Book Antiqua" w:eastAsia="Times New Roman" w:hAnsi="Book Antiqua" w:cs="Arial"/>
          <w:sz w:val="24"/>
          <w:szCs w:val="24"/>
          <w:lang w:eastAsia="hu-HU"/>
        </w:rPr>
      </w:pPr>
      <w:r>
        <w:rPr>
          <w:rFonts w:ascii="Book Antiqua" w:eastAsia="Times New Roman" w:hAnsi="Book Antiqua" w:cs="Arial"/>
          <w:sz w:val="24"/>
          <w:szCs w:val="24"/>
          <w:lang w:eastAsia="hu-HU"/>
        </w:rPr>
        <w:t xml:space="preserve">       polgármester</w:t>
      </w:r>
      <w:r>
        <w:rPr>
          <w:rFonts w:ascii="Book Antiqua" w:eastAsia="Times New Roman" w:hAnsi="Book Antiqua" w:cs="Arial"/>
          <w:sz w:val="24"/>
          <w:szCs w:val="24"/>
          <w:lang w:eastAsia="hu-HU"/>
        </w:rPr>
        <w:tab/>
        <w:t>jegyző</w:t>
      </w:r>
    </w:p>
    <w:p w14:paraId="5167C348" w14:textId="77777777" w:rsidR="00406AEA" w:rsidRDefault="00406AEA"/>
    <w:sectPr w:rsidR="00406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1E"/>
    <w:rsid w:val="00303EE7"/>
    <w:rsid w:val="00406AEA"/>
    <w:rsid w:val="004B759D"/>
    <w:rsid w:val="00690071"/>
    <w:rsid w:val="00A066E1"/>
    <w:rsid w:val="00BB791E"/>
    <w:rsid w:val="00D06DF2"/>
    <w:rsid w:val="00D41AE7"/>
    <w:rsid w:val="00E57F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6E6D"/>
  <w15:docId w15:val="{37821BE9-28F8-41B1-991E-9A340444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7F69"/>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3933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Németh</dc:creator>
  <cp:lastModifiedBy>Mária Németh</cp:lastModifiedBy>
  <cp:revision>2</cp:revision>
  <cp:lastPrinted>2020-11-04T10:06:00Z</cp:lastPrinted>
  <dcterms:created xsi:type="dcterms:W3CDTF">2021-01-04T10:04:00Z</dcterms:created>
  <dcterms:modified xsi:type="dcterms:W3CDTF">2021-01-04T10:04:00Z</dcterms:modified>
</cp:coreProperties>
</file>